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265"/>
      </w:tblGrid>
      <w:tr w:rsidR="00DE6FB2" w14:paraId="1F55139B" w14:textId="77777777">
        <w:trPr>
          <w:trHeight w:val="42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925A" w14:textId="77777777" w:rsidR="00DE6FB2" w:rsidRDefault="0095369C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e-Infrastructure Assembly </w:t>
            </w:r>
            <w:proofErr w:type="spellStart"/>
            <w:r>
              <w:rPr>
                <w:b/>
                <w:sz w:val="26"/>
                <w:szCs w:val="26"/>
              </w:rPr>
              <w:t>representative</w:t>
            </w:r>
            <w:proofErr w:type="spellEnd"/>
          </w:p>
          <w:p w14:paraId="0E724FFB" w14:textId="77777777" w:rsidR="00DE6FB2" w:rsidRDefault="0095369C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Jos van Wezel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F606" w14:textId="77777777" w:rsidR="00DE6FB2" w:rsidRDefault="009536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role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e-</w:t>
            </w:r>
            <w:proofErr w:type="spellStart"/>
            <w:r>
              <w:rPr>
                <w:b/>
              </w:rPr>
              <w:t>Infrastructures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EOSC </w:t>
            </w:r>
            <w:proofErr w:type="spellStart"/>
            <w:r>
              <w:rPr>
                <w:b/>
              </w:rPr>
              <w:t>nodes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ecosystem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beyond</w:t>
            </w:r>
            <w:proofErr w:type="spellEnd"/>
            <w:r>
              <w:rPr>
                <w:b/>
              </w:rPr>
              <w:t xml:space="preserve">: The e-Infrastructure Assembly </w:t>
            </w:r>
            <w:proofErr w:type="spellStart"/>
            <w:r>
              <w:rPr>
                <w:b/>
              </w:rPr>
              <w:t>view</w:t>
            </w:r>
            <w:proofErr w:type="spellEnd"/>
          </w:p>
        </w:tc>
      </w:tr>
      <w:tr w:rsidR="00DE6FB2" w14:paraId="21FA2D84" w14:textId="77777777">
        <w:trPr>
          <w:trHeight w:val="2535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E978" w14:textId="77777777" w:rsidR="00DE6FB2" w:rsidRDefault="0095369C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114300" distB="114300" distL="114300" distR="114300" wp14:anchorId="63CA70D0" wp14:editId="6856C117">
                  <wp:extent cx="1566863" cy="2654073"/>
                  <wp:effectExtent l="0" t="0" r="0" b="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63" cy="2654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50FF" w14:textId="77777777" w:rsidR="00DE6FB2" w:rsidRDefault="0095369C">
            <w:pPr>
              <w:widowControl w:val="0"/>
              <w:spacing w:line="240" w:lineRule="auto"/>
            </w:pPr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Jos van Wezel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is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EU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liaison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and open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science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promotor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at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the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Scientific Computing Center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of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KIT in Germany and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since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2023,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chair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of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the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executive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board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343434"/>
                <w:sz w:val="23"/>
                <w:szCs w:val="23"/>
                <w:highlight w:val="white"/>
              </w:rPr>
              <w:t>of</w:t>
            </w:r>
            <w:proofErr w:type="spellEnd"/>
            <w:r>
              <w:rPr>
                <w:b/>
                <w:color w:val="343434"/>
                <w:sz w:val="23"/>
                <w:szCs w:val="23"/>
                <w:highlight w:val="white"/>
              </w:rPr>
              <w:t xml:space="preserve"> EUDAT CDI. </w:t>
            </w:r>
            <w:r>
              <w:rPr>
                <w:color w:val="343434"/>
                <w:sz w:val="23"/>
                <w:szCs w:val="23"/>
                <w:highlight w:val="white"/>
              </w:rPr>
              <w:t xml:space="preserve">He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is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a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computational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biologist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and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computer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scientist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,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worked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in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leading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positions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at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res</w:t>
            </w:r>
            <w:r>
              <w:rPr>
                <w:color w:val="343434"/>
                <w:sz w:val="23"/>
                <w:szCs w:val="23"/>
                <w:highlight w:val="white"/>
              </w:rPr>
              <w:t>earch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institutions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in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the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Netherlands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and in Germany, and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participated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in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various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EU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projects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that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helped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develop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European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data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color w:val="343434"/>
                <w:sz w:val="23"/>
                <w:szCs w:val="23"/>
                <w:highlight w:val="white"/>
              </w:rPr>
              <w:t>infrastructures</w:t>
            </w:r>
            <w:proofErr w:type="spellEnd"/>
            <w:r>
              <w:rPr>
                <w:color w:val="343434"/>
                <w:sz w:val="23"/>
                <w:szCs w:val="23"/>
                <w:highlight w:val="white"/>
              </w:rPr>
              <w:t xml:space="preserve"> and EOSC.</w:t>
            </w:r>
          </w:p>
        </w:tc>
      </w:tr>
    </w:tbl>
    <w:p w14:paraId="2A76E17F" w14:textId="77777777" w:rsidR="005854D2" w:rsidRDefault="005854D2" w:rsidP="00FD62C4"/>
    <w:sectPr w:rsidR="005854D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D69C" w14:textId="77777777" w:rsidR="0095369C" w:rsidRDefault="0095369C">
      <w:pPr>
        <w:spacing w:line="240" w:lineRule="auto"/>
      </w:pPr>
      <w:r>
        <w:separator/>
      </w:r>
    </w:p>
  </w:endnote>
  <w:endnote w:type="continuationSeparator" w:id="0">
    <w:p w14:paraId="6388D7D2" w14:textId="77777777" w:rsidR="0095369C" w:rsidRDefault="00953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7B51" w14:textId="77777777" w:rsidR="0095369C" w:rsidRDefault="0095369C">
      <w:pPr>
        <w:spacing w:line="240" w:lineRule="auto"/>
      </w:pPr>
      <w:r>
        <w:separator/>
      </w:r>
    </w:p>
  </w:footnote>
  <w:footnote w:type="continuationSeparator" w:id="0">
    <w:p w14:paraId="3C7B941A" w14:textId="77777777" w:rsidR="0095369C" w:rsidRDefault="00953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D1" w14:textId="77777777" w:rsidR="00DE6FB2" w:rsidRDefault="00DE6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9CD"/>
    <w:multiLevelType w:val="multilevel"/>
    <w:tmpl w:val="9DA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E2F12"/>
    <w:multiLevelType w:val="multilevel"/>
    <w:tmpl w:val="EBD0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B2"/>
    <w:rsid w:val="00135BFA"/>
    <w:rsid w:val="001F14C5"/>
    <w:rsid w:val="00344999"/>
    <w:rsid w:val="004C644E"/>
    <w:rsid w:val="005854D2"/>
    <w:rsid w:val="006B5DF0"/>
    <w:rsid w:val="007E4ABE"/>
    <w:rsid w:val="0095369C"/>
    <w:rsid w:val="009A2F2A"/>
    <w:rsid w:val="00A17B1E"/>
    <w:rsid w:val="00B869D1"/>
    <w:rsid w:val="00DE6FB2"/>
    <w:rsid w:val="00E81AD9"/>
    <w:rsid w:val="00FD62C4"/>
    <w:rsid w:val="00FE0DD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661"/>
  <w15:docId w15:val="{96580CAB-1781-4341-9BB7-D5A9A52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International Hellenic University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Maragakis</dc:creator>
  <cp:lastModifiedBy>Michael Maragakis</cp:lastModifiedBy>
  <cp:revision>2</cp:revision>
  <dcterms:created xsi:type="dcterms:W3CDTF">2024-06-02T09:34:00Z</dcterms:created>
  <dcterms:modified xsi:type="dcterms:W3CDTF">2024-06-02T09:34:00Z</dcterms:modified>
</cp:coreProperties>
</file>